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fa20cb5b84b7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29488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GRADA TROGIRA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408.539,82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439.112,08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412.759,60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427.046,07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12.066,01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10.468,90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15.005,18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10.468,90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15.005,18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14.688,68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2.939,17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20,0</w:t>
            </w:r>
          </w:p>
        </w:tc>
      </w:tr>
    </w:tbl>
    <w:p>
      <w:pPr>
        <w:spacing w:before="0" w:after="0"/>
      </w:pPr>
    </w:p>
    <w:p>
      <w:r>
        <w:t xml:space="preserve">Ukupni prihodi poslovanja u izvještajnom razdoblju od 1. 1. - 31. 12. 2025. godine iznose 439.112,08 €. Prihodi se odnose na pomoći Ministarstva kulture i medija, Prihodi od prodaje proizvoda i robe te pruženih usluga, Donacije fizičkih osoba, te Prihodi iz nadležnog proračuna za financiranje redovne djelatnosti proračunskih korisnika i prihod za financiranje nefinancijske imovine. Prihodi iz nadležnog proračuna odnose se na financiranje bruto plaće te tekuće materijalne troškove kao i troškove realizacija izložbi i projekata.</w:t>
      </w:r>
    </w:p>
    <w:p>
      <w:r>
        <w:t xml:space="preserve">Rashodi poslovanja u istom izvještajnom razdoblju iznose 427.046,07 €. Troškovi se odnose na rashode za zaposlene te na materijalne rashode. Ostvaren je manjak prihoda i primitaka za pokriće u sljedećem razdoblju u iznosu od 4.973,32 €. Za 2025. godinu ostvaren je ukupan manjak prihoda i primitaka  u iznosu od 2.939,17 € (Y005), što s manjkom prihoda i primitaka preneseni iz prethodnog razdoblja u iznosu od 2.034,15 € čini ukupan manjak (Y006) u iznosu od 4.973,32 €. Ostvareni manjak odnosi se na na višak poslovanja  prihoda (X001) u iznosu od 12.066,01 €, dok je manjak od nefinancijske imovine u istom izvještajnom razdoblju u iznosu od 15.005,18 € (Y002), što daje ukupan manjak prihoda i primitaka u istom izvještajnom razdoblju u iznosu od 2.939,17 (Y004).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408.539,82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439.112,08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</w:tbl>
    <w:p>
      <w:pPr>
        <w:spacing w:before="0" w:after="0"/>
      </w:pPr>
    </w:p>
    <w:p>
      <w:r>
        <w:t xml:space="preserve">Ukupni prihodi poslovanja u izvještajnom razdoblju od 1. 1. - 31. 12. 2025. godine iznose 439.112,08 €. Prihodi se odnose na pomoći Ministarstva kulture i medija, Prihodi od prodaje proizvoda i robe te pruženih usluga, Donacije fizičkih osoba, te Prihodi iz nadležnog proračuna za financiranje redovne djelatnosti proračunskih korisnika i prihod za financiranje nefinancijske imovine. Prihodi iz nadležnog proračuna odnose se na financiranje bruto plaće te tekuće materijalne troškove kao i troškove realizacija izložbi i projekata.</w:t>
      </w:r>
    </w:p>
    <w:p>
      <w:r>
        <w:t xml:space="preserve">Rashodi poslovanja u istom izvještajnom razdoblju iznose 427.046,07 €. Troškovi se odnose na rashode za zaposlene te na materijalne rashode. Ostvaren je manjak prihoda i primitaka za pokriće u sljedećem razdoblju u iznosu od 4.973,32 €. Za 2025. godinu ostvaren je ukupan manjak prihoda i primitaka  u iznosu od 2.939,17 € (Y005), što s manjkom prihoda i primitaka preneseni iz prethodnog razdoblja u iznosu od 2.034,15 € čini ukupan manjak (Y006) u iznosu od 4.973,32 €. Ostvareni manjak odnosi se na na višak poslovanja  prihoda (X001) u iznosu od 12.066,01 €, dok je manjak od nefinancijske imovine u istom izvještajnom razdoblju u iznosu od 15.005,18 € (Y002), što daje ukupan manjak prihoda i primitaka u istom izvještajnom razdoblju u iznosu od 2.939,17 (Y004).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62.351,60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94,6</w:t>
            </w:r>
          </w:p>
        </w:tc>
      </w:tr>
    </w:tbl>
    <w:p>
      <w:pPr>
        <w:spacing w:before="0" w:after="0"/>
      </w:pPr>
    </w:p>
    <w:p>
      <w:r>
        <w:t xml:space="preserve">Prihodi iz proračuna koji nije nadležan. Do 30. 9 . 2025. uplate su sjedale direktno na račun Muzeja, prelaskom na sustav Riznice, uplate sjedaju na račun Grada Trogira. Prihodi se odnose na uplate Ministarstva kulture i medija za realizaciju izložbi, konzervaciju i restauraciju hrvatske zastave, te sanaciju i restauraciju palačae Garagnin Fanfogna. Sva sredstva su utrošena sukladno prihodima i financijskom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62.351,60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94,6</w:t>
            </w:r>
          </w:p>
        </w:tc>
      </w:tr>
    </w:tbl>
    <w:p>
      <w:pPr>
        <w:spacing w:before="0" w:after="0"/>
      </w:pPr>
    </w:p>
    <w:p>
      <w:r>
        <w:t xml:space="preserve">Prihodi iz proračuna koji nije nadležan. Do 30. 9 . 2025. uplate su sjedale direktno na račun Muzeja, prelaskom na sustav Riznice, uplate sjedaju na račun Grada Trogira. Prihodi se odnose na uplate Ministarstva kulture i medija za realizaciju izložbi, konzervaciju i restauraciju hrvatske zastave, te sanaciju i restauraciju palačae Garagnin Fanfogna. Sva sredstva su utrošena sukladno prihodima i financijskom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30.564,31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16.605,36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54,3</w:t>
            </w:r>
          </w:p>
        </w:tc>
      </w:tr>
    </w:tbl>
    <w:p>
      <w:pPr>
        <w:spacing w:before="0" w:after="0"/>
      </w:pPr>
    </w:p>
    <w:p>
      <w:r>
        <w:t xml:space="preserve">Vlastiti ptihodi odnose se na prodaju ulaznica, trgovačke robe (knjige, katalozi), komisijska prodaja knjiga, te najam jednog poslovnog prostora do 20. 9. 2025. godine - istek Ugovora - zbog potrebe za korištenjem istog kako bi Muzej imao adekvatan prostor ua prodaju ulaznica i suvenira.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98,3</w:t>
            </w:r>
          </w:p>
        </w:tc>
      </w:tr>
    </w:tbl>
    <w:p>
      <w:pPr>
        <w:spacing w:before="0" w:after="0"/>
      </w:pPr>
    </w:p>
    <w:p>
      <w:r>
        <w:t xml:space="preserve">Vlastiti prihodi odnose se na prodaju trgovačke robe (knjige, katalozi), te komisijsku prodaju knjiga. Ovaj prihod u ovom izvještajno razdoblju iznosi 1.634,89 €.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28.031,80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14.532,47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51,8</w:t>
            </w:r>
          </w:p>
        </w:tc>
      </w:tr>
    </w:tbl>
    <w:p>
      <w:pPr>
        <w:spacing w:before="0" w:after="0"/>
      </w:pPr>
    </w:p>
    <w:p>
      <w:r>
        <w:t xml:space="preserve">Vlastiti prihodi od prodaje ulaznica, (ulaznice za različitu tematiku radionica), najam jednog poslovnog prostora do 20. 9. 2025. - istek Ugovora. Manje u odnosu na isto izvještajno razdoblje prošle godine zbog velikog broja posjećenosti izložbe Salvadora Dalija.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50,4</w:t>
            </w:r>
          </w:p>
        </w:tc>
      </w:tr>
    </w:tbl>
    <w:p>
      <w:pPr>
        <w:spacing w:before="0" w:after="0"/>
      </w:pPr>
    </w:p>
    <w:p>
      <w:r>
        <w:t xml:space="preserve">Kapitalne donacije fizičkih osoba odnose se na razmjenu knjiga kosu su darovane Muzeju. Kao takve unosese u poslovne knjige na razred 6 i paralelno knjiži trošak. Također je rađena korekcija rezultata za nefinancijsku imovinu. Iste su uvedene u knjižnicu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315.623,91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363.506,72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r>
        <w:t xml:space="preserve">Prihodi od nadležnog proračuna u ovom izvještajnom razdoblju iznose 363.506,72 €. Prihodi su utrošeni na bruto plaće, materijalne rashode te za nabavu nefinancijske imovine. Također Grad Trogir financira projekte, izložbe te sanaciju i restauraciju palače Garagnin Fanfogna.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307.469,01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349.350,54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r>
        <w:t xml:space="preserve">Prihodi nadležnog proračuna u iznosu od 349.350,54 € odnose se na bruto plaće, tekuće materijalne rashod (topli obrok, Božićnica, jubilarne nagrade, kao i otpremnina za odlazak djelatnice u mirovinu,te naknada za neiskorišteni godišnji odmor.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8.154,90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14.156,18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173,6</w:t>
            </w:r>
          </w:p>
        </w:tc>
      </w:tr>
    </w:tbl>
    <w:p>
      <w:pPr>
        <w:spacing w:before="0" w:after="0"/>
      </w:pPr>
    </w:p>
    <w:p>
      <w:r>
        <w:t xml:space="preserve">Prihodi za nabavu nefinancijske imovine od nadležnog proračuna u ovom izvještajnom razdoblju iznose 14.156,18 €. Prihodi se odnose na nabavu uredske opreme ( prostor suvenirnice). Kupljen je pult, police.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412.759,60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427.046,07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r>
        <w:t xml:space="preserve">Rashodi poslovanja u ovom izvještajnom razdoblju iznose 427.046,07 €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211.716,83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242.585,95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</w:tbl>
    <w:p>
      <w:pPr>
        <w:spacing w:before="0" w:after="0"/>
      </w:pPr>
    </w:p>
    <w:p>
      <w:r>
        <w:t xml:space="preserve">Rashodi za zaposlene u ovom izvještajnom razdoblju iznose 242.585,95 €. Razlog povećanja u odnosu na isto izvještajno razdoblje prethodne godine je odlazak djelatnice u mirovinu. Isplata otpremnine te naknade za neiskorišteni odmor.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168.177,57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174.463,27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</w:tbl>
    <w:p>
      <w:pPr>
        <w:spacing w:before="0" w:after="0"/>
      </w:pPr>
    </w:p>
    <w:p>
      <w:r>
        <w:t xml:space="preserve">Trošak bruto plaća u ovom izvještajnom razdoblju iznosi 174.463,27 €, odnosi se na trošak bruto plaća. Također odnosi se na ostale rashode za zaposlene kao što je topli obrok, Uskrsnica, Regres, otpremnina , te doprinosi za obvezno osiguranje u iznosu od 28.743,12 €.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15.798,05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39.379,56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249,3</w:t>
            </w:r>
          </w:p>
        </w:tc>
      </w:tr>
    </w:tbl>
    <w:p>
      <w:pPr>
        <w:spacing w:before="0" w:after="0"/>
      </w:pPr>
    </w:p>
    <w:p>
      <w:r>
        <w:t xml:space="preserve">Rashodi za zaposlene u iznosu od 39.379,56 €. Više u odnosu na prošlo izvještajno razdoblje, odlazak djelatnice u mirovinu.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27.741,21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28.743,12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</w:t>
            </w:r>
          </w:p>
        </w:tc>
      </w:tr>
    </w:tbl>
    <w:p>
      <w:pPr>
        <w:spacing w:before="0" w:after="0"/>
      </w:pPr>
    </w:p>
    <w:p>
      <w:r>
        <w:t xml:space="preserve">Doprinosi na plaće u ovom izvještajnom razdoblju iznose 28.743,12 €, što je sukladno troškovima bruto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200.252,48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183.873,31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91,8</w:t>
            </w:r>
          </w:p>
        </w:tc>
      </w:tr>
    </w:tbl>
    <w:p>
      <w:pPr>
        <w:spacing w:before="0" w:after="0"/>
      </w:pPr>
    </w:p>
    <w:p>
      <w:r>
        <w:t xml:space="preserve">Materijalni rashodi u ovom izvještajnom razdoblju iznose 183.873,31 €. Odnose se na službena putovanja, naknade za prijevoz, tekući materijalni troškovi (struja, komunala, telefon)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149,9</w:t>
            </w:r>
          </w:p>
        </w:tc>
      </w:tr>
    </w:tbl>
    <w:p>
      <w:pPr>
        <w:spacing w:before="0" w:after="0"/>
      </w:pPr>
    </w:p>
    <w:p>
      <w:r>
        <w:t xml:space="preserve">Službena putovanja odnose se na put za djelatnice muzeja te vankjse suradnike u svrhu realizacije izložbi. Predstavljanje zbornika "Pod sjenom krila" u Zagrebu i predstavljanje monografije Matka Mijić također u Zagrebu.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164,0</w:t>
            </w:r>
          </w:p>
        </w:tc>
      </w:tr>
    </w:tbl>
    <w:p>
      <w:pPr>
        <w:spacing w:before="0" w:after="0"/>
      </w:pPr>
    </w:p>
    <w:p>
      <w:r>
        <w:t xml:space="preserve">Troškovi se odnose na put dviju kolegica, a isplaćuje se prema cijeni Promet d.o.o. (putna karta).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Ovaj trošak se odnosi na korištenje privatnog automobila u službene svrhe, prema odluci i kolektivnom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5.137,31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153,3</w:t>
            </w:r>
          </w:p>
        </w:tc>
      </w:tr>
    </w:tbl>
    <w:p>
      <w:pPr>
        <w:spacing w:before="0" w:after="0"/>
      </w:pPr>
    </w:p>
    <w:p>
      <w:r>
        <w:t xml:space="preserve">Rashodi uredskog materijala u ovom izvještajnom razdoblju iznose 5.137,31 €. Odnose se na nabavu stručne literatutre, nabavu uredskog materijala, kao i materijala koji su neophodi za rad, materijal za čišćenje i održavanje prostorija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102,4</w:t>
            </w:r>
          </w:p>
        </w:tc>
      </w:tr>
    </w:tbl>
    <w:p>
      <w:pPr>
        <w:spacing w:before="0" w:after="0"/>
      </w:pPr>
    </w:p>
    <w:p>
      <w:r>
        <w:t xml:space="preserve">ERashodi za energiju u ovom razdoblju iznose 4.453,08 € . korištenje električne energije za rasvjetu, grijaje i hlađenje prostorija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109.088,40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84.962,81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77,9</w:t>
            </w:r>
          </w:p>
        </w:tc>
      </w:tr>
    </w:tbl>
    <w:p>
      <w:pPr>
        <w:spacing w:before="0" w:after="0"/>
      </w:pPr>
    </w:p>
    <w:p>
      <w:r>
        <w:t xml:space="preserve">Rashodi za usluge tekućeg i investicijskog održavanja iznose 84.962,81 €. Odnosi se na sanaciju i restauraciju palače Gargnin Fanfogna prema ugovoru sukladno troškovniku.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40.865,10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37,9</w:t>
            </w:r>
          </w:p>
        </w:tc>
      </w:tr>
    </w:tbl>
    <w:p>
      <w:pPr>
        <w:spacing w:before="0" w:after="0"/>
      </w:pPr>
    </w:p>
    <w:p>
      <w:r>
        <w:t xml:space="preserve">Rashodi z ausluge promidžbe i informiranja iznose 15.475,00 €, što je manje u odnosu na isto izvještajno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347,3</w:t>
            </w:r>
          </w:p>
        </w:tc>
      </w:tr>
    </w:tbl>
    <w:p>
      <w:pPr>
        <w:spacing w:before="0" w:after="0"/>
      </w:pPr>
    </w:p>
    <w:p>
      <w:r>
        <w:t xml:space="preserve">Rashodi za komunalne usluge u ovom izvještajnom razdoblju iznose 2.299,22 €. Razlog povećanja deratizacija i dezinsekcija prostorija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Zdravstvene usluge u ovom razdoblju iznose 2.652,00 €, razlog povećanja poskupljenje police.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21.336,22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42.617,01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199,7</w:t>
            </w:r>
          </w:p>
        </w:tc>
      </w:tr>
    </w:tbl>
    <w:p>
      <w:pPr>
        <w:spacing w:before="0" w:after="0"/>
      </w:pPr>
    </w:p>
    <w:p>
      <w:r>
        <w:t xml:space="preserve">Razlog povećanja intelektualnih usluga u odnosu na isto izvještajno razdoblje prošle godine, je realizacija projekta "Potopljena baština"; usluga prijevoda u svrhu realizacije izložbi, autorski honorari.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6.407,24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209,1</w:t>
            </w:r>
          </w:p>
        </w:tc>
      </w:tr>
    </w:tbl>
    <w:p>
      <w:pPr>
        <w:spacing w:before="0" w:after="0"/>
      </w:pPr>
    </w:p>
    <w:p>
      <w:r>
        <w:t xml:space="preserve">Rashodi za računalne usluge iznose 6.407,24 €. Odnose se na održavanje računalnih programa Hivergen i Libusoft. Razlog povećanja je poskupljenje održavanja istih.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3.642,91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r>
        <w:t xml:space="preserve">Rashodi za usluge iznose 3.642,91 €. Odnose se na najam tepiha (ugovor) - održavanje, usluga servisa, te aranžmani.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Rashodi za naknadu za rad predstavničkih tijela (Upravno vijeće) za dvije djelatnice u iznosu od 2.904,86 €.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</w:tbl>
    <w:p>
      <w:pPr>
        <w:spacing w:before="0" w:after="0"/>
      </w:pPr>
    </w:p>
    <w:p>
      <w:r>
        <w:t xml:space="preserve">Trošak reprezentacije u ovom izvještajnom razdoblju iznosi 3.406,27 €. Odnosi se na ugošćavanje vanjskih suradnika u svrhu realizacije izložbi, te domjeaka u Muzeju grada Trogira - izložbe.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Rashodi za pristojbe i naknade u ovom izvještajnom razdoblju iznose 657,36 €. razlog povećanja u odnbosu na prošlu godinu,  zbog javnobilježničkih pristojbi. naime, zbog ne napuštanja poslovnog prostora (najmoprimac - istek ugovora), primoreni smo sudskim putem postupiti prema istom, zbog kojeg su nastali ovi troškovi.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42,0</w:t>
            </w:r>
          </w:p>
        </w:tc>
      </w:tr>
    </w:tbl>
    <w:p>
      <w:pPr>
        <w:spacing w:before="0" w:after="0"/>
      </w:pPr>
    </w:p>
    <w:p>
      <w:r>
        <w:t xml:space="preserve">Trošak aranžmana cvijeće i telegram (izraz sućuti).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od 1. 1. - 31. 12. 2025. ostvaren je višak poslovanja u iznosu od 12.066,01 €, dok je manjak od nefinancijske imovine u istom izvještajnom razdoblju 15.005,18 € što daje ukupan manjak prihoda i primitaka u iznosu od 4.973,32 €.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od 1.1.-31.12.2025. godine nisu ostvareni prihodi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10.468,90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15.005,18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143,3</w:t>
            </w:r>
          </w:p>
        </w:tc>
      </w:tr>
    </w:tbl>
    <w:p>
      <w:pPr>
        <w:spacing w:before="0" w:after="0"/>
      </w:pPr>
    </w:p>
    <w:p>
      <w:r>
        <w:t xml:space="preserve">Rashodi za nabavu nefinancijske imovine u ovom izvještajnom razdoblju iznose 15.005,18 . Odnosi se na nabacu uredske opreme, kao što je info pult, oprema suvenirnice.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5.772,01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12.376,15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214,4</w:t>
            </w:r>
          </w:p>
        </w:tc>
      </w:tr>
    </w:tbl>
    <w:p>
      <w:pPr>
        <w:spacing w:before="0" w:after="0"/>
      </w:pPr>
    </w:p>
    <w:p>
      <w:r>
        <w:t xml:space="preserve">Uredska oprema i namještaj u  ovom razdoblju iznose 12.376,15 €, odnos  se na nabavu uredske opreme - info pult, police, postamenti za skulpture.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683,9</w:t>
            </w:r>
          </w:p>
        </w:tc>
      </w:tr>
    </w:tbl>
    <w:p>
      <w:pPr>
        <w:spacing w:before="0" w:after="0"/>
      </w:pPr>
    </w:p>
    <w:p>
      <w:r>
        <w:t xml:space="preserve">Rashod za muzejske izloške i predmete u ovom izvještajnom razdoblju iznose 2.629,03. Muzej grada Trogira i autori sklopili su Ugovor gdje je Muzej otkupio umjetničke slike s motivima Trogira, autora Milana Tolića i Frane Sasso koje je inventarizirano kao muzejski predmet u zbirci suvremene umjetnosti.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Tijeko razdoblja 1.1.-31.12.2025. nisu ostvareni Primici od financijske imovine i zaduživanja.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dane zajmove i jamčevne pologe (šifre 511+512+513+514+515+516+517+518)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Nisu ostvareni izdaci za financisjiku imovinu u ovom razdoblju niti je bilo prenesenih viškova ili manjkova prethodnog razdoblja za ovu kategoriju rezultata.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14.688,68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</w:t>
            </w:r>
          </w:p>
        </w:tc>
      </w:tr>
    </w:tbl>
    <w:p>
      <w:pPr>
        <w:spacing w:before="0" w:after="0"/>
      </w:pPr>
    </w:p>
    <w:p>
      <w:r>
        <w:t xml:space="preserve">U ovom izvještajnom razdoblju od 1.1.-31.12.2025. ostvaren je ukupan manjak prihoda i primitaka u iznosu od 2.939,17 €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309.275,54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300.516,64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97,2</w:t>
            </w:r>
          </w:p>
        </w:tc>
      </w:tr>
    </w:tbl>
    <w:p>
      <w:pPr>
        <w:spacing w:before="0" w:after="0"/>
      </w:pPr>
    </w:p>
    <w:p>
      <w:r>
        <w:t xml:space="preserve">Na dan 31. 12. 2025. godine imovina iznosi 300.516,64 €, a odnosi se na nefinancijsku imovinu i financijsku imovinu.</w:t>
      </w:r>
    </w:p>
    <w:p>
      <w:r>
        <w:t xml:space="preserve">Prema članku Pravilnika o proračunu i proračunskom planu napravljena je korekcija rezultata na podskupini 922 za iznose kapitalnih prijenosa ostvareni tijekom proračunske godine koji su utrošeni na nabavu nefinancijske imovine.</w:t>
      </w:r>
    </w:p>
    <w:p>
      <w:r>
        <w:t xml:space="preserve">Korekcija rezultata se odnosila na konto 6712 Prihodi iz nadležnog proračuna za financiranje rashoda za nabavu nefinancijske imovine koji su evidentirani u okviru razreda 4 tijekom 2025. godine i plaćeni u 2025.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423.228,50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442.051,25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</w:tbl>
    <w:p>
      <w:pPr>
        <w:spacing w:before="0" w:after="0"/>
      </w:pPr>
    </w:p>
    <w:p>
      <w:r>
        <w:t xml:space="preserve">Kako Muzej obavlja poslove kulturnog značaja tako je prema funkcijskoj klasifikaciji ukupno utrošeno na rsahodima poslovanja te restauraciji i sanaciji palače Garagnin Fanfogna. Ukupni rashodi poslovanja i nefinancijska imovina u 2025. godini iznosi 442.051,25 €.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obveza (šifre 91521+91522)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Temeljnicom je proknjiženo usklađenje prema odluci za popis imovine u 2025. godini u iznosu od 48,27 €.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32.099,42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1. siječnja predstavlja početno stanje obveza na dan 1. siječnja 2025. godine, u iznosu od 32.099,42 €, a odgovara stanju obveza na kraju prosinca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4.478,35 €. Bit će podmirene početkom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20.600,49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Iskazano stanje odnosi se na neplaćene obveze i rashode iz 2025. a koji nisu pristigli do kraja 2025. godine, jer su tada i nastali te će biti podmireni početkom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cbadf5cb994f6e" /></Relationships>
</file>